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5B136" w14:textId="77777777" w:rsidR="001C0FB1" w:rsidRDefault="00604FBF">
      <w:pPr>
        <w:pStyle w:val="BodyText"/>
        <w:spacing w:before="79"/>
        <w:ind w:left="3465" w:right="3368" w:firstLine="801"/>
      </w:pPr>
      <w:r>
        <w:t>MINUTES BOARD OF EDUCATION</w:t>
      </w:r>
    </w:p>
    <w:p w14:paraId="208C4580" w14:textId="77777777" w:rsidR="001C0FB1" w:rsidRDefault="00604FBF">
      <w:pPr>
        <w:pStyle w:val="BodyText"/>
        <w:ind w:left="3814" w:right="3739"/>
        <w:jc w:val="center"/>
      </w:pPr>
      <w:r>
        <w:t>September 10, 2018</w:t>
      </w:r>
    </w:p>
    <w:p w14:paraId="40531405" w14:textId="77777777" w:rsidR="001C0FB1" w:rsidRDefault="00604FBF">
      <w:pPr>
        <w:pStyle w:val="BodyText"/>
        <w:ind w:left="3814" w:right="3735"/>
        <w:jc w:val="center"/>
      </w:pPr>
      <w:r>
        <w:t>7:20 PM</w:t>
      </w:r>
    </w:p>
    <w:p w14:paraId="102373E8" w14:textId="77777777" w:rsidR="001C0FB1" w:rsidRDefault="001C0FB1">
      <w:pPr>
        <w:pStyle w:val="BodyText"/>
        <w:spacing w:before="11"/>
        <w:ind w:left="0"/>
        <w:rPr>
          <w:sz w:val="23"/>
        </w:rPr>
      </w:pPr>
    </w:p>
    <w:p w14:paraId="3B224487" w14:textId="77777777" w:rsidR="001C0FB1" w:rsidRDefault="00604FBF">
      <w:pPr>
        <w:pStyle w:val="ListParagraph"/>
        <w:numPr>
          <w:ilvl w:val="0"/>
          <w:numId w:val="1"/>
        </w:numPr>
        <w:tabs>
          <w:tab w:val="left" w:pos="317"/>
        </w:tabs>
        <w:spacing w:before="0"/>
        <w:rPr>
          <w:sz w:val="24"/>
        </w:rPr>
      </w:pPr>
      <w:r>
        <w:rPr>
          <w:sz w:val="24"/>
        </w:rPr>
        <w:t>Call Meeting to</w:t>
      </w:r>
      <w:r>
        <w:rPr>
          <w:spacing w:val="-7"/>
          <w:sz w:val="24"/>
        </w:rPr>
        <w:t xml:space="preserve"> </w:t>
      </w:r>
      <w:r>
        <w:rPr>
          <w:sz w:val="24"/>
        </w:rPr>
        <w:t>Order</w:t>
      </w:r>
    </w:p>
    <w:p w14:paraId="2CABC031" w14:textId="77777777" w:rsidR="001C0FB1" w:rsidRDefault="00604FBF">
      <w:pPr>
        <w:pStyle w:val="BodyText"/>
        <w:ind w:right="143"/>
      </w:pPr>
      <w:r>
        <w:t xml:space="preserve">President Dave Zimmerman called the meeting to order at 7:20 p.m. and the following members were present: Carol </w:t>
      </w:r>
      <w:proofErr w:type="spellStart"/>
      <w:r>
        <w:t>Pralle</w:t>
      </w:r>
      <w:proofErr w:type="spellEnd"/>
      <w:r>
        <w:t xml:space="preserve">, Dave Zimmerman, Emily Shockley, and Harlan </w:t>
      </w:r>
      <w:proofErr w:type="spellStart"/>
      <w:r>
        <w:t>Rickers</w:t>
      </w:r>
      <w:proofErr w:type="spellEnd"/>
      <w:r>
        <w:t>. The following administrator was present: Christopher Prososki. The following visitors were present: Jeff Argo and Angela Meyer.</w:t>
      </w:r>
    </w:p>
    <w:p w14:paraId="24070A5D" w14:textId="77777777" w:rsidR="00E94FF3" w:rsidRDefault="00E94FF3">
      <w:pPr>
        <w:pStyle w:val="BodyText"/>
        <w:ind w:right="97"/>
      </w:pPr>
    </w:p>
    <w:p w14:paraId="53F8E6C6" w14:textId="77777777" w:rsidR="001C0FB1" w:rsidRDefault="00604FBF">
      <w:pPr>
        <w:pStyle w:val="BodyText"/>
        <w:ind w:right="97"/>
      </w:pPr>
      <w:r>
        <w:t>Reasonable advance publicized notice of the meeting was given according to law by publishing, a designated method for giving notice of the school district. Reasonable advance notice was simultaneously given to board members and a copy of their acknowledgement of receipt of notice and the agenda attached. All proceedings hereafter shown were taken while the convened meeting was open to the attendance of the public.</w:t>
      </w:r>
    </w:p>
    <w:p w14:paraId="0EBA2501" w14:textId="77777777" w:rsidR="001C0FB1" w:rsidRDefault="00604FBF">
      <w:pPr>
        <w:pStyle w:val="ListParagraph"/>
        <w:numPr>
          <w:ilvl w:val="1"/>
          <w:numId w:val="1"/>
        </w:numPr>
        <w:tabs>
          <w:tab w:val="left" w:pos="552"/>
        </w:tabs>
        <w:spacing w:before="148"/>
        <w:ind w:firstLine="0"/>
        <w:rPr>
          <w:sz w:val="24"/>
        </w:rPr>
      </w:pPr>
      <w:r>
        <w:rPr>
          <w:sz w:val="24"/>
        </w:rPr>
        <w:t>Roll</w:t>
      </w:r>
      <w:r>
        <w:rPr>
          <w:spacing w:val="-1"/>
          <w:sz w:val="24"/>
        </w:rPr>
        <w:t xml:space="preserve"> </w:t>
      </w:r>
      <w:r>
        <w:rPr>
          <w:sz w:val="24"/>
        </w:rPr>
        <w:t>Call</w:t>
      </w:r>
    </w:p>
    <w:p w14:paraId="162A607F" w14:textId="77777777" w:rsidR="001C0FB1" w:rsidRDefault="00604FBF">
      <w:pPr>
        <w:pStyle w:val="BodyText"/>
        <w:ind w:right="369"/>
      </w:pPr>
      <w:r>
        <w:t xml:space="preserve">Motion to excuse Branson </w:t>
      </w:r>
      <w:proofErr w:type="spellStart"/>
      <w:r>
        <w:t>Husa</w:t>
      </w:r>
      <w:proofErr w:type="spellEnd"/>
      <w:r>
        <w:t xml:space="preserve"> and Jim </w:t>
      </w:r>
      <w:proofErr w:type="spellStart"/>
      <w:r>
        <w:t>Zvolanek</w:t>
      </w:r>
      <w:proofErr w:type="spellEnd"/>
      <w:r>
        <w:t xml:space="preserve"> due to work related conflicts. This motion, made by Harlan </w:t>
      </w:r>
      <w:proofErr w:type="spellStart"/>
      <w:r>
        <w:t>Rickers</w:t>
      </w:r>
      <w:proofErr w:type="spellEnd"/>
      <w:r>
        <w:t xml:space="preserve"> and seconded by Emily Shockley, passed.</w:t>
      </w:r>
    </w:p>
    <w:p w14:paraId="0AAEB666" w14:textId="6B981F19" w:rsidR="00147346" w:rsidRDefault="00147346">
      <w:pPr>
        <w:pStyle w:val="BodyText"/>
        <w:ind w:right="369"/>
      </w:pPr>
      <w:r>
        <w:t>yes: 4, no: 0, Absent: 2</w:t>
      </w:r>
    </w:p>
    <w:p w14:paraId="4BD4348C" w14:textId="77777777" w:rsidR="001C0FB1" w:rsidRDefault="00604FBF">
      <w:pPr>
        <w:pStyle w:val="ListParagraph"/>
        <w:numPr>
          <w:ilvl w:val="1"/>
          <w:numId w:val="1"/>
        </w:numPr>
        <w:tabs>
          <w:tab w:val="left" w:pos="538"/>
        </w:tabs>
        <w:spacing w:before="151"/>
        <w:ind w:left="537" w:hanging="418"/>
        <w:rPr>
          <w:sz w:val="24"/>
        </w:rPr>
      </w:pPr>
      <w:r>
        <w:rPr>
          <w:sz w:val="24"/>
        </w:rPr>
        <w:t>Notice of Nebraska Open Meetings Act</w:t>
      </w:r>
      <w:r>
        <w:rPr>
          <w:spacing w:val="-12"/>
          <w:sz w:val="24"/>
        </w:rPr>
        <w:t xml:space="preserve"> </w:t>
      </w:r>
      <w:r>
        <w:rPr>
          <w:sz w:val="24"/>
        </w:rPr>
        <w:t>Posted</w:t>
      </w:r>
    </w:p>
    <w:p w14:paraId="26F0CAAF" w14:textId="77777777" w:rsidR="001C0FB1" w:rsidRDefault="00604FBF">
      <w:pPr>
        <w:pStyle w:val="BodyText"/>
        <w:ind w:right="143"/>
      </w:pPr>
      <w:r>
        <w:t>President Dave Zimmerman announced that a complete copy of the Nebraska Open Meetings Act is posted in the back of the board of education meeting room.</w:t>
      </w:r>
    </w:p>
    <w:p w14:paraId="7E9C5DA8" w14:textId="77777777" w:rsidR="001C0FB1" w:rsidRDefault="00604FBF">
      <w:pPr>
        <w:pStyle w:val="ListParagraph"/>
        <w:numPr>
          <w:ilvl w:val="1"/>
          <w:numId w:val="1"/>
        </w:numPr>
        <w:tabs>
          <w:tab w:val="left" w:pos="538"/>
        </w:tabs>
        <w:ind w:right="220" w:firstLine="0"/>
        <w:rPr>
          <w:sz w:val="24"/>
        </w:rPr>
      </w:pPr>
      <w:r>
        <w:rPr>
          <w:sz w:val="24"/>
        </w:rPr>
        <w:t>Hear Support, Opposition, Criticism, Suggestions, or Observations Related to the Proposed Southern Public Schools 2018-2019 Tax</w:t>
      </w:r>
      <w:r>
        <w:rPr>
          <w:spacing w:val="-14"/>
          <w:sz w:val="24"/>
        </w:rPr>
        <w:t xml:space="preserve"> </w:t>
      </w:r>
      <w:r>
        <w:rPr>
          <w:sz w:val="24"/>
        </w:rPr>
        <w:t>Request</w:t>
      </w:r>
    </w:p>
    <w:p w14:paraId="3D25457C" w14:textId="77777777" w:rsidR="00E94FF3" w:rsidRDefault="00E94FF3">
      <w:pPr>
        <w:pStyle w:val="BodyText"/>
        <w:ind w:right="296"/>
      </w:pPr>
    </w:p>
    <w:p w14:paraId="4FC1FE2D" w14:textId="77777777" w:rsidR="001C0FB1" w:rsidRDefault="00604FBF">
      <w:pPr>
        <w:pStyle w:val="BodyText"/>
        <w:ind w:right="296"/>
      </w:pPr>
      <w:r>
        <w:t>Dr. Prososki gave an overview of the 2018-2019 property tax request and tax rate.  Dr. Prososki recommended the General Fund levy be set at 1.05 and the Qualified Capital Purpose Undertaking Fund be set at 0.03.  He also recommended the total levy for 2018-2019 be set at</w:t>
      </w:r>
    </w:p>
    <w:p w14:paraId="6040DFD5" w14:textId="74E20502" w:rsidR="001C0FB1" w:rsidRDefault="00604FBF">
      <w:pPr>
        <w:pStyle w:val="BodyText"/>
        <w:ind w:right="183"/>
      </w:pPr>
      <w:r>
        <w:t>1.08. Based on these mill levies, the General Fund tax request will generate $4,204,610 in revenue and the Qualified Capital Purpose Undertaking Fund will generate $120,131 in revenue. The overall tax request will generate $4,324,741. Based on these figures, the mill levy will drop by $0.015 cents from the previous year and the tax request will go down</w:t>
      </w:r>
      <w:r>
        <w:rPr>
          <w:spacing w:val="-28"/>
        </w:rPr>
        <w:t xml:space="preserve"> </w:t>
      </w:r>
      <w:r>
        <w:t>by</w:t>
      </w:r>
    </w:p>
    <w:p w14:paraId="33D7E644" w14:textId="77777777" w:rsidR="001C0FB1" w:rsidRDefault="00604FBF">
      <w:pPr>
        <w:pStyle w:val="BodyText"/>
        <w:ind w:right="143"/>
      </w:pPr>
      <w:r>
        <w:t>$45,702. Dr. Prososki noted that this is the second year in a row that the district tax request has gone down. Lastly, Dr. Prososki gave the board a breakdown of the tax request over the past 3 years and a breakdown of the total mill levy request for the past 3 years.</w:t>
      </w:r>
    </w:p>
    <w:p w14:paraId="0FCBA970" w14:textId="77777777" w:rsidR="00E94FF3" w:rsidRDefault="00E94FF3">
      <w:pPr>
        <w:pStyle w:val="BodyText"/>
        <w:ind w:right="143"/>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84"/>
        <w:gridCol w:w="1484"/>
        <w:gridCol w:w="1485"/>
        <w:gridCol w:w="1485"/>
        <w:gridCol w:w="1484"/>
        <w:gridCol w:w="1485"/>
      </w:tblGrid>
      <w:tr w:rsidR="00E94FF3" w:rsidRPr="008C5D9D" w14:paraId="67AAB511" w14:textId="77777777" w:rsidTr="00604FBF">
        <w:trPr>
          <w:trHeight w:val="388"/>
        </w:trPr>
        <w:tc>
          <w:tcPr>
            <w:tcW w:w="1484" w:type="dxa"/>
            <w:vAlign w:val="center"/>
          </w:tcPr>
          <w:p w14:paraId="290FDBC1" w14:textId="77777777" w:rsidR="00E94FF3" w:rsidRPr="008C5D9D" w:rsidRDefault="00E94FF3" w:rsidP="00604FBF">
            <w:pPr>
              <w:spacing w:before="12"/>
              <w:ind w:left="16"/>
              <w:jc w:val="center"/>
              <w:rPr>
                <w:b/>
              </w:rPr>
            </w:pPr>
            <w:r w:rsidRPr="008C5D9D">
              <w:rPr>
                <w:b/>
              </w:rPr>
              <w:t>Year</w:t>
            </w:r>
          </w:p>
        </w:tc>
        <w:tc>
          <w:tcPr>
            <w:tcW w:w="1484" w:type="dxa"/>
            <w:vAlign w:val="center"/>
          </w:tcPr>
          <w:p w14:paraId="606E4909" w14:textId="77777777" w:rsidR="00E94FF3" w:rsidRPr="008C5D9D" w:rsidRDefault="00E94FF3" w:rsidP="00604FBF">
            <w:pPr>
              <w:spacing w:before="12"/>
              <w:ind w:left="14"/>
              <w:jc w:val="center"/>
              <w:rPr>
                <w:b/>
              </w:rPr>
            </w:pPr>
            <w:r w:rsidRPr="008C5D9D">
              <w:rPr>
                <w:b/>
              </w:rPr>
              <w:t>Building Fund</w:t>
            </w:r>
          </w:p>
        </w:tc>
        <w:tc>
          <w:tcPr>
            <w:tcW w:w="1485" w:type="dxa"/>
            <w:vAlign w:val="center"/>
          </w:tcPr>
          <w:p w14:paraId="01F4DAE1" w14:textId="77777777" w:rsidR="00E94FF3" w:rsidRPr="008C5D9D" w:rsidRDefault="00E94FF3" w:rsidP="00604FBF">
            <w:pPr>
              <w:spacing w:before="12"/>
              <w:ind w:left="14"/>
              <w:jc w:val="center"/>
              <w:rPr>
                <w:b/>
              </w:rPr>
            </w:pPr>
            <w:r w:rsidRPr="008C5D9D">
              <w:rPr>
                <w:b/>
              </w:rPr>
              <w:t>QCPUF</w:t>
            </w:r>
          </w:p>
        </w:tc>
        <w:tc>
          <w:tcPr>
            <w:tcW w:w="1484" w:type="dxa"/>
            <w:vAlign w:val="center"/>
          </w:tcPr>
          <w:p w14:paraId="297D9FD7" w14:textId="77777777" w:rsidR="00E94FF3" w:rsidRPr="008C5D9D" w:rsidRDefault="00E94FF3" w:rsidP="00604FBF">
            <w:pPr>
              <w:spacing w:before="12"/>
              <w:ind w:left="14"/>
              <w:jc w:val="center"/>
              <w:rPr>
                <w:b/>
              </w:rPr>
            </w:pPr>
            <w:r w:rsidRPr="008C5D9D">
              <w:rPr>
                <w:b/>
              </w:rPr>
              <w:t>Bond Fund</w:t>
            </w:r>
          </w:p>
        </w:tc>
        <w:tc>
          <w:tcPr>
            <w:tcW w:w="1484" w:type="dxa"/>
            <w:vAlign w:val="center"/>
          </w:tcPr>
          <w:p w14:paraId="5369B421" w14:textId="77777777" w:rsidR="00E94FF3" w:rsidRPr="008C5D9D" w:rsidRDefault="00E94FF3" w:rsidP="00604FBF">
            <w:pPr>
              <w:spacing w:before="12"/>
              <w:ind w:left="14"/>
              <w:jc w:val="center"/>
              <w:rPr>
                <w:b/>
              </w:rPr>
            </w:pPr>
            <w:r w:rsidRPr="008C5D9D">
              <w:rPr>
                <w:b/>
              </w:rPr>
              <w:t>General Fund</w:t>
            </w:r>
          </w:p>
        </w:tc>
        <w:tc>
          <w:tcPr>
            <w:tcW w:w="1485" w:type="dxa"/>
            <w:vAlign w:val="center"/>
          </w:tcPr>
          <w:p w14:paraId="1930293C" w14:textId="77777777" w:rsidR="00E94FF3" w:rsidRPr="008C5D9D" w:rsidRDefault="00E94FF3" w:rsidP="00604FBF">
            <w:pPr>
              <w:spacing w:before="12"/>
              <w:ind w:left="14"/>
              <w:jc w:val="center"/>
              <w:rPr>
                <w:b/>
              </w:rPr>
            </w:pPr>
            <w:r w:rsidRPr="008C5D9D">
              <w:rPr>
                <w:b/>
              </w:rPr>
              <w:t>Total</w:t>
            </w:r>
          </w:p>
        </w:tc>
      </w:tr>
      <w:tr w:rsidR="00E94FF3" w:rsidRPr="008C5D9D" w14:paraId="5A78BA8B" w14:textId="77777777" w:rsidTr="00604FBF">
        <w:trPr>
          <w:trHeight w:val="304"/>
        </w:trPr>
        <w:tc>
          <w:tcPr>
            <w:tcW w:w="1484" w:type="dxa"/>
            <w:vAlign w:val="center"/>
          </w:tcPr>
          <w:p w14:paraId="1AF137F4" w14:textId="77777777" w:rsidR="00E94FF3" w:rsidRPr="008C5D9D" w:rsidRDefault="00E94FF3" w:rsidP="00604FBF">
            <w:pPr>
              <w:spacing w:before="22" w:line="250" w:lineRule="exact"/>
              <w:ind w:left="16"/>
              <w:jc w:val="center"/>
              <w:rPr>
                <w:b/>
              </w:rPr>
            </w:pPr>
            <w:r w:rsidRPr="008C5D9D">
              <w:rPr>
                <w:b/>
              </w:rPr>
              <w:t>2016-2017</w:t>
            </w:r>
          </w:p>
        </w:tc>
        <w:tc>
          <w:tcPr>
            <w:tcW w:w="1484" w:type="dxa"/>
            <w:vAlign w:val="center"/>
          </w:tcPr>
          <w:p w14:paraId="32FC38E6" w14:textId="77777777" w:rsidR="00E94FF3" w:rsidRPr="008C5D9D" w:rsidRDefault="00E94FF3" w:rsidP="00604FBF">
            <w:pPr>
              <w:tabs>
                <w:tab w:val="left" w:pos="731"/>
              </w:tabs>
              <w:spacing w:before="22" w:line="250" w:lineRule="exact"/>
              <w:ind w:left="14"/>
              <w:jc w:val="center"/>
            </w:pPr>
            <w:r w:rsidRPr="008C5D9D">
              <w:t>$</w:t>
            </w:r>
            <w:r w:rsidRPr="008C5D9D">
              <w:tab/>
              <w:t>38,990</w:t>
            </w:r>
          </w:p>
        </w:tc>
        <w:tc>
          <w:tcPr>
            <w:tcW w:w="1484" w:type="dxa"/>
            <w:vAlign w:val="center"/>
          </w:tcPr>
          <w:p w14:paraId="111F9E4F" w14:textId="77777777" w:rsidR="00E94FF3" w:rsidRPr="008C5D9D" w:rsidRDefault="00E94FF3" w:rsidP="00604FBF">
            <w:pPr>
              <w:tabs>
                <w:tab w:val="left" w:pos="566"/>
              </w:tabs>
              <w:spacing w:before="22" w:line="250" w:lineRule="exact"/>
              <w:ind w:left="14"/>
              <w:jc w:val="center"/>
            </w:pPr>
            <w:r w:rsidRPr="008C5D9D">
              <w:t>$</w:t>
            </w:r>
            <w:r w:rsidRPr="008C5D9D">
              <w:tab/>
              <w:t>20,202</w:t>
            </w:r>
          </w:p>
        </w:tc>
        <w:tc>
          <w:tcPr>
            <w:tcW w:w="1485" w:type="dxa"/>
            <w:vAlign w:val="center"/>
          </w:tcPr>
          <w:p w14:paraId="0508EC82" w14:textId="77777777" w:rsidR="00E94FF3" w:rsidRPr="008C5D9D" w:rsidRDefault="00E94FF3" w:rsidP="00604FBF">
            <w:pPr>
              <w:tabs>
                <w:tab w:val="left" w:pos="455"/>
              </w:tabs>
              <w:spacing w:before="22" w:line="250" w:lineRule="exact"/>
              <w:ind w:left="14"/>
              <w:jc w:val="center"/>
            </w:pPr>
            <w:r w:rsidRPr="008C5D9D">
              <w:t>$</w:t>
            </w:r>
            <w:r w:rsidRPr="008C5D9D">
              <w:tab/>
              <w:t>161,616</w:t>
            </w:r>
          </w:p>
        </w:tc>
        <w:tc>
          <w:tcPr>
            <w:tcW w:w="1484" w:type="dxa"/>
            <w:vAlign w:val="center"/>
          </w:tcPr>
          <w:p w14:paraId="4265E65B" w14:textId="37B339CB" w:rsidR="00E94FF3" w:rsidRPr="008C5D9D" w:rsidRDefault="00E94FF3" w:rsidP="00604FBF">
            <w:pPr>
              <w:spacing w:before="22" w:line="250" w:lineRule="exact"/>
              <w:ind w:left="14"/>
              <w:jc w:val="center"/>
            </w:pPr>
            <w:r w:rsidRPr="008C5D9D">
              <w:t>$ 4,254,734</w:t>
            </w:r>
          </w:p>
        </w:tc>
        <w:tc>
          <w:tcPr>
            <w:tcW w:w="1485" w:type="dxa"/>
            <w:vAlign w:val="center"/>
          </w:tcPr>
          <w:p w14:paraId="5A431490" w14:textId="77777777" w:rsidR="00E94FF3" w:rsidRPr="008C5D9D" w:rsidRDefault="00E94FF3" w:rsidP="00604FBF">
            <w:pPr>
              <w:tabs>
                <w:tab w:val="left" w:pos="456"/>
              </w:tabs>
              <w:spacing w:before="22" w:line="250" w:lineRule="exact"/>
              <w:ind w:left="14"/>
              <w:jc w:val="center"/>
            </w:pPr>
            <w:r w:rsidRPr="008C5D9D">
              <w:t>$</w:t>
            </w:r>
            <w:r w:rsidRPr="008C5D9D">
              <w:tab/>
              <w:t>4,475,542</w:t>
            </w:r>
          </w:p>
        </w:tc>
      </w:tr>
      <w:tr w:rsidR="00E94FF3" w:rsidRPr="008C5D9D" w14:paraId="2FE72727" w14:textId="77777777" w:rsidTr="00604FBF">
        <w:trPr>
          <w:trHeight w:val="304"/>
        </w:trPr>
        <w:tc>
          <w:tcPr>
            <w:tcW w:w="1484" w:type="dxa"/>
            <w:vAlign w:val="center"/>
          </w:tcPr>
          <w:p w14:paraId="6499455A" w14:textId="77777777" w:rsidR="00E94FF3" w:rsidRPr="008C5D9D" w:rsidRDefault="00E94FF3" w:rsidP="00604FBF">
            <w:pPr>
              <w:spacing w:before="41" w:line="250" w:lineRule="exact"/>
              <w:ind w:left="16"/>
              <w:jc w:val="center"/>
              <w:rPr>
                <w:b/>
              </w:rPr>
            </w:pPr>
            <w:r w:rsidRPr="008C5D9D">
              <w:rPr>
                <w:b/>
              </w:rPr>
              <w:t>2017-2018</w:t>
            </w:r>
          </w:p>
        </w:tc>
        <w:tc>
          <w:tcPr>
            <w:tcW w:w="1484" w:type="dxa"/>
            <w:vAlign w:val="center"/>
          </w:tcPr>
          <w:p w14:paraId="67068C3F" w14:textId="77777777" w:rsidR="00E94FF3" w:rsidRPr="008C5D9D" w:rsidRDefault="00E94FF3" w:rsidP="00604FBF">
            <w:pPr>
              <w:jc w:val="center"/>
            </w:pPr>
          </w:p>
        </w:tc>
        <w:tc>
          <w:tcPr>
            <w:tcW w:w="1484" w:type="dxa"/>
            <w:vAlign w:val="center"/>
          </w:tcPr>
          <w:p w14:paraId="013F4513" w14:textId="77777777" w:rsidR="00E94FF3" w:rsidRPr="008C5D9D" w:rsidRDefault="00E94FF3" w:rsidP="00604FBF">
            <w:pPr>
              <w:tabs>
                <w:tab w:val="left" w:pos="566"/>
              </w:tabs>
              <w:spacing w:before="41" w:line="250" w:lineRule="exact"/>
              <w:ind w:left="14"/>
              <w:jc w:val="center"/>
            </w:pPr>
            <w:r w:rsidRPr="008C5D9D">
              <w:t>$</w:t>
            </w:r>
            <w:r w:rsidRPr="008C5D9D">
              <w:tab/>
              <w:t>20,202</w:t>
            </w:r>
          </w:p>
        </w:tc>
        <w:tc>
          <w:tcPr>
            <w:tcW w:w="1485" w:type="dxa"/>
            <w:vAlign w:val="center"/>
          </w:tcPr>
          <w:p w14:paraId="7349AADD" w14:textId="77777777" w:rsidR="00E94FF3" w:rsidRPr="008C5D9D" w:rsidRDefault="00E94FF3" w:rsidP="00604FBF">
            <w:pPr>
              <w:tabs>
                <w:tab w:val="left" w:pos="455"/>
              </w:tabs>
              <w:spacing w:before="41" w:line="250" w:lineRule="exact"/>
              <w:ind w:left="14"/>
              <w:jc w:val="center"/>
            </w:pPr>
            <w:r w:rsidRPr="008C5D9D">
              <w:t>$</w:t>
            </w:r>
            <w:r w:rsidRPr="008C5D9D">
              <w:tab/>
              <w:t>161,616</w:t>
            </w:r>
          </w:p>
        </w:tc>
        <w:tc>
          <w:tcPr>
            <w:tcW w:w="1484" w:type="dxa"/>
            <w:vAlign w:val="center"/>
          </w:tcPr>
          <w:p w14:paraId="6C2CCCA1" w14:textId="77777777" w:rsidR="00E94FF3" w:rsidRPr="008C5D9D" w:rsidRDefault="00E94FF3" w:rsidP="00604FBF">
            <w:pPr>
              <w:spacing w:before="41" w:line="250" w:lineRule="exact"/>
              <w:ind w:left="14"/>
              <w:jc w:val="center"/>
            </w:pPr>
            <w:r w:rsidRPr="008C5D9D">
              <w:t>$ 4,188,625</w:t>
            </w:r>
          </w:p>
        </w:tc>
        <w:tc>
          <w:tcPr>
            <w:tcW w:w="1485" w:type="dxa"/>
            <w:vAlign w:val="center"/>
          </w:tcPr>
          <w:p w14:paraId="0DB33AE5" w14:textId="77777777" w:rsidR="00E94FF3" w:rsidRPr="008C5D9D" w:rsidRDefault="00E94FF3" w:rsidP="00604FBF">
            <w:pPr>
              <w:tabs>
                <w:tab w:val="left" w:pos="456"/>
              </w:tabs>
              <w:spacing w:before="41" w:line="250" w:lineRule="exact"/>
              <w:ind w:left="14"/>
              <w:jc w:val="center"/>
            </w:pPr>
            <w:r w:rsidRPr="008C5D9D">
              <w:t>$</w:t>
            </w:r>
            <w:r w:rsidRPr="008C5D9D">
              <w:tab/>
              <w:t>4,370,443</w:t>
            </w:r>
          </w:p>
        </w:tc>
      </w:tr>
      <w:tr w:rsidR="00E94FF3" w:rsidRPr="008C5D9D" w14:paraId="51DC6997" w14:textId="77777777" w:rsidTr="00604FBF">
        <w:trPr>
          <w:trHeight w:val="304"/>
        </w:trPr>
        <w:tc>
          <w:tcPr>
            <w:tcW w:w="1484" w:type="dxa"/>
            <w:vAlign w:val="center"/>
          </w:tcPr>
          <w:p w14:paraId="51D5D357" w14:textId="77777777" w:rsidR="00E94FF3" w:rsidRPr="008C5D9D" w:rsidRDefault="00E94FF3" w:rsidP="00604FBF">
            <w:pPr>
              <w:spacing w:before="41" w:line="250" w:lineRule="exact"/>
              <w:ind w:left="16"/>
              <w:jc w:val="center"/>
              <w:rPr>
                <w:b/>
              </w:rPr>
            </w:pPr>
            <w:r>
              <w:rPr>
                <w:b/>
              </w:rPr>
              <w:t>2018-2019</w:t>
            </w:r>
          </w:p>
        </w:tc>
        <w:tc>
          <w:tcPr>
            <w:tcW w:w="1484" w:type="dxa"/>
            <w:vAlign w:val="center"/>
          </w:tcPr>
          <w:p w14:paraId="13199816" w14:textId="77777777" w:rsidR="00E94FF3" w:rsidRPr="008C5D9D" w:rsidRDefault="00E94FF3" w:rsidP="00604FBF">
            <w:pPr>
              <w:jc w:val="center"/>
            </w:pPr>
          </w:p>
        </w:tc>
        <w:tc>
          <w:tcPr>
            <w:tcW w:w="1484" w:type="dxa"/>
            <w:vAlign w:val="center"/>
          </w:tcPr>
          <w:p w14:paraId="57EC318C" w14:textId="77777777" w:rsidR="00E94FF3" w:rsidRPr="008C5D9D" w:rsidRDefault="00E94FF3" w:rsidP="00604FBF">
            <w:pPr>
              <w:tabs>
                <w:tab w:val="left" w:pos="566"/>
              </w:tabs>
              <w:spacing w:before="41" w:line="250" w:lineRule="exact"/>
              <w:ind w:left="14"/>
              <w:jc w:val="center"/>
            </w:pPr>
            <w:r w:rsidRPr="008C5D9D">
              <w:t>$</w:t>
            </w:r>
            <w:r w:rsidRPr="008C5D9D">
              <w:tab/>
              <w:t>120,131</w:t>
            </w:r>
          </w:p>
        </w:tc>
        <w:tc>
          <w:tcPr>
            <w:tcW w:w="1485" w:type="dxa"/>
            <w:vAlign w:val="center"/>
          </w:tcPr>
          <w:p w14:paraId="1B35B27C" w14:textId="77777777" w:rsidR="00E94FF3" w:rsidRPr="008C5D9D" w:rsidRDefault="00E94FF3" w:rsidP="00604FBF">
            <w:pPr>
              <w:tabs>
                <w:tab w:val="left" w:pos="455"/>
              </w:tabs>
              <w:spacing w:before="41" w:line="250" w:lineRule="exact"/>
              <w:ind w:left="14"/>
              <w:jc w:val="center"/>
            </w:pPr>
          </w:p>
        </w:tc>
        <w:tc>
          <w:tcPr>
            <w:tcW w:w="1484" w:type="dxa"/>
            <w:vAlign w:val="center"/>
          </w:tcPr>
          <w:p w14:paraId="760D04BA" w14:textId="77777777" w:rsidR="00E94FF3" w:rsidRPr="008C5D9D" w:rsidRDefault="00E94FF3" w:rsidP="00604FBF">
            <w:pPr>
              <w:spacing w:before="41" w:line="250" w:lineRule="exact"/>
              <w:ind w:left="14"/>
              <w:jc w:val="center"/>
            </w:pPr>
            <w:r w:rsidRPr="008C5D9D">
              <w:t>$ 4,204,610</w:t>
            </w:r>
          </w:p>
        </w:tc>
        <w:tc>
          <w:tcPr>
            <w:tcW w:w="1485" w:type="dxa"/>
            <w:vAlign w:val="center"/>
          </w:tcPr>
          <w:p w14:paraId="6C7B50EC" w14:textId="77777777" w:rsidR="00E94FF3" w:rsidRPr="008C5D9D" w:rsidRDefault="00E94FF3" w:rsidP="00604FBF">
            <w:pPr>
              <w:tabs>
                <w:tab w:val="left" w:pos="456"/>
              </w:tabs>
              <w:spacing w:before="41" w:line="250" w:lineRule="exact"/>
              <w:ind w:left="14"/>
              <w:jc w:val="center"/>
            </w:pPr>
            <w:r w:rsidRPr="008C5D9D">
              <w:t>$</w:t>
            </w:r>
            <w:r w:rsidRPr="008C5D9D">
              <w:tab/>
              <w:t>4,324,741</w:t>
            </w:r>
          </w:p>
        </w:tc>
      </w:tr>
    </w:tbl>
    <w:p w14:paraId="6A21DE84" w14:textId="77777777" w:rsidR="00E94FF3" w:rsidRDefault="00E94FF3">
      <w:pPr>
        <w:pStyle w:val="BodyText"/>
        <w:spacing w:before="2" w:after="1"/>
        <w:ind w:left="0"/>
        <w:rPr>
          <w:sz w:val="20"/>
        </w:rPr>
      </w:pPr>
    </w:p>
    <w:p w14:paraId="30625581" w14:textId="77777777" w:rsidR="00E94FF3" w:rsidRDefault="00E94FF3">
      <w:pPr>
        <w:pStyle w:val="BodyText"/>
        <w:spacing w:before="2" w:after="1"/>
        <w:ind w:left="0"/>
        <w:rPr>
          <w:sz w:val="20"/>
        </w:rPr>
      </w:pPr>
    </w:p>
    <w:p w14:paraId="7474F749" w14:textId="77777777" w:rsidR="001C0FB1" w:rsidRDefault="001C0FB1">
      <w:pPr>
        <w:spacing w:line="250" w:lineRule="exact"/>
        <w:sectPr w:rsidR="001C0FB1">
          <w:type w:val="continuous"/>
          <w:pgSz w:w="12240" w:h="15840"/>
          <w:pgMar w:top="1360" w:right="1400" w:bottom="280" w:left="1320" w:header="720" w:footer="720" w:gutter="0"/>
          <w:cols w:space="720"/>
        </w:sectPr>
      </w:pPr>
    </w:p>
    <w:p w14:paraId="3967E0D2" w14:textId="77777777" w:rsidR="001C0FB1" w:rsidRDefault="001C0FB1">
      <w:pPr>
        <w:pStyle w:val="BodyText"/>
        <w:spacing w:before="1"/>
        <w:ind w:left="0"/>
        <w:rPr>
          <w:sz w:val="17"/>
        </w:rPr>
      </w:pPr>
    </w:p>
    <w:tbl>
      <w:tblPr>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5"/>
        <w:gridCol w:w="1785"/>
        <w:gridCol w:w="1785"/>
        <w:gridCol w:w="1785"/>
        <w:gridCol w:w="1785"/>
      </w:tblGrid>
      <w:tr w:rsidR="001C0FB1" w14:paraId="34826BF6" w14:textId="77777777" w:rsidTr="00604FBF">
        <w:trPr>
          <w:trHeight w:val="509"/>
        </w:trPr>
        <w:tc>
          <w:tcPr>
            <w:tcW w:w="1785" w:type="dxa"/>
          </w:tcPr>
          <w:p w14:paraId="6128B81F" w14:textId="77777777" w:rsidR="001C0FB1" w:rsidRDefault="00604FBF">
            <w:pPr>
              <w:pStyle w:val="TableParagraph"/>
              <w:spacing w:before="12"/>
              <w:ind w:left="16"/>
              <w:rPr>
                <w:b/>
              </w:rPr>
            </w:pPr>
            <w:r>
              <w:rPr>
                <w:b/>
              </w:rPr>
              <w:t>Tax Year</w:t>
            </w:r>
          </w:p>
        </w:tc>
        <w:tc>
          <w:tcPr>
            <w:tcW w:w="1785" w:type="dxa"/>
          </w:tcPr>
          <w:p w14:paraId="722C6350" w14:textId="77777777" w:rsidR="001C0FB1" w:rsidRDefault="00604FBF">
            <w:pPr>
              <w:pStyle w:val="TableParagraph"/>
              <w:spacing w:before="12"/>
              <w:rPr>
                <w:b/>
              </w:rPr>
            </w:pPr>
            <w:r>
              <w:rPr>
                <w:b/>
              </w:rPr>
              <w:t>Total Mill Levy</w:t>
            </w:r>
          </w:p>
        </w:tc>
        <w:tc>
          <w:tcPr>
            <w:tcW w:w="1785" w:type="dxa"/>
          </w:tcPr>
          <w:p w14:paraId="2BEADD0A" w14:textId="77777777" w:rsidR="001C0FB1" w:rsidRDefault="00604FBF">
            <w:pPr>
              <w:pStyle w:val="TableParagraph"/>
              <w:spacing w:before="12"/>
              <w:ind w:left="15"/>
              <w:rPr>
                <w:b/>
              </w:rPr>
            </w:pPr>
            <w:r>
              <w:rPr>
                <w:b/>
              </w:rPr>
              <w:t>Home Value</w:t>
            </w:r>
          </w:p>
        </w:tc>
        <w:tc>
          <w:tcPr>
            <w:tcW w:w="1785" w:type="dxa"/>
          </w:tcPr>
          <w:p w14:paraId="7C4F5C5A" w14:textId="77777777" w:rsidR="00604FBF" w:rsidRDefault="00604FBF">
            <w:pPr>
              <w:pStyle w:val="TableParagraph"/>
              <w:spacing w:before="12" w:line="250" w:lineRule="atLeast"/>
              <w:ind w:left="16" w:right="221"/>
              <w:rPr>
                <w:b/>
              </w:rPr>
            </w:pPr>
            <w:r>
              <w:rPr>
                <w:b/>
              </w:rPr>
              <w:t xml:space="preserve">Taxes Paid </w:t>
            </w:r>
          </w:p>
          <w:p w14:paraId="6C2E8E8A" w14:textId="0B96DA84" w:rsidR="001C0FB1" w:rsidRDefault="00604FBF">
            <w:pPr>
              <w:pStyle w:val="TableParagraph"/>
              <w:spacing w:before="12" w:line="250" w:lineRule="atLeast"/>
              <w:ind w:left="16" w:right="221"/>
              <w:rPr>
                <w:b/>
              </w:rPr>
            </w:pPr>
            <w:r>
              <w:rPr>
                <w:b/>
              </w:rPr>
              <w:t>(Per Month)</w:t>
            </w:r>
          </w:p>
        </w:tc>
        <w:tc>
          <w:tcPr>
            <w:tcW w:w="1785" w:type="dxa"/>
          </w:tcPr>
          <w:p w14:paraId="511F3007" w14:textId="77777777" w:rsidR="001C0FB1" w:rsidRDefault="00604FBF">
            <w:pPr>
              <w:pStyle w:val="TableParagraph"/>
              <w:spacing w:before="12" w:line="250" w:lineRule="atLeast"/>
              <w:ind w:left="17" w:right="354"/>
              <w:rPr>
                <w:b/>
              </w:rPr>
            </w:pPr>
            <w:r>
              <w:rPr>
                <w:b/>
              </w:rPr>
              <w:t>Taxes Paid (Per Year)</w:t>
            </w:r>
          </w:p>
        </w:tc>
      </w:tr>
      <w:tr w:rsidR="001C0FB1" w14:paraId="22FF444D" w14:textId="77777777" w:rsidTr="00604FBF">
        <w:trPr>
          <w:trHeight w:val="284"/>
        </w:trPr>
        <w:tc>
          <w:tcPr>
            <w:tcW w:w="1785" w:type="dxa"/>
          </w:tcPr>
          <w:p w14:paraId="0A749A08" w14:textId="77777777" w:rsidR="001C0FB1" w:rsidRDefault="00604FBF">
            <w:pPr>
              <w:pStyle w:val="TableParagraph"/>
              <w:ind w:left="16"/>
              <w:rPr>
                <w:b/>
              </w:rPr>
            </w:pPr>
            <w:r>
              <w:rPr>
                <w:b/>
              </w:rPr>
              <w:t>2016</w:t>
            </w:r>
          </w:p>
        </w:tc>
        <w:tc>
          <w:tcPr>
            <w:tcW w:w="1785" w:type="dxa"/>
          </w:tcPr>
          <w:p w14:paraId="3645DA55" w14:textId="77777777" w:rsidR="001C0FB1" w:rsidRDefault="00604FBF">
            <w:pPr>
              <w:pStyle w:val="TableParagraph"/>
            </w:pPr>
            <w:r>
              <w:t>1.094344</w:t>
            </w:r>
          </w:p>
        </w:tc>
        <w:tc>
          <w:tcPr>
            <w:tcW w:w="1785" w:type="dxa"/>
          </w:tcPr>
          <w:p w14:paraId="30D5B5EA" w14:textId="77777777" w:rsidR="001C0FB1" w:rsidRDefault="00604FBF">
            <w:pPr>
              <w:pStyle w:val="TableParagraph"/>
              <w:ind w:left="15"/>
            </w:pPr>
            <w:r>
              <w:t>$100,000</w:t>
            </w:r>
          </w:p>
        </w:tc>
        <w:tc>
          <w:tcPr>
            <w:tcW w:w="1785" w:type="dxa"/>
          </w:tcPr>
          <w:p w14:paraId="11B08CFB" w14:textId="77777777" w:rsidR="001C0FB1" w:rsidRDefault="00604FBF">
            <w:pPr>
              <w:pStyle w:val="TableParagraph"/>
              <w:ind w:left="16"/>
            </w:pPr>
            <w:r>
              <w:t>$91.16</w:t>
            </w:r>
          </w:p>
        </w:tc>
        <w:tc>
          <w:tcPr>
            <w:tcW w:w="1785" w:type="dxa"/>
          </w:tcPr>
          <w:p w14:paraId="3D1D2AC9" w14:textId="77777777" w:rsidR="001C0FB1" w:rsidRDefault="00604FBF">
            <w:pPr>
              <w:pStyle w:val="TableParagraph"/>
              <w:ind w:left="17"/>
            </w:pPr>
            <w:r>
              <w:t>$1,094</w:t>
            </w:r>
          </w:p>
        </w:tc>
      </w:tr>
      <w:tr w:rsidR="001C0FB1" w14:paraId="6F151B30" w14:textId="77777777" w:rsidTr="00604FBF">
        <w:trPr>
          <w:trHeight w:val="268"/>
        </w:trPr>
        <w:tc>
          <w:tcPr>
            <w:tcW w:w="1785" w:type="dxa"/>
          </w:tcPr>
          <w:p w14:paraId="35EC0B4D" w14:textId="77777777" w:rsidR="001C0FB1" w:rsidRDefault="001C0FB1">
            <w:pPr>
              <w:pStyle w:val="TableParagraph"/>
              <w:spacing w:before="0"/>
              <w:ind w:left="0"/>
              <w:rPr>
                <w:sz w:val="20"/>
              </w:rPr>
            </w:pPr>
          </w:p>
        </w:tc>
        <w:tc>
          <w:tcPr>
            <w:tcW w:w="1785" w:type="dxa"/>
          </w:tcPr>
          <w:p w14:paraId="3B7A4DD5" w14:textId="77777777" w:rsidR="001C0FB1" w:rsidRDefault="001C0FB1">
            <w:pPr>
              <w:pStyle w:val="TableParagraph"/>
              <w:spacing w:before="0"/>
              <w:ind w:left="0"/>
              <w:rPr>
                <w:sz w:val="20"/>
              </w:rPr>
            </w:pPr>
          </w:p>
        </w:tc>
        <w:tc>
          <w:tcPr>
            <w:tcW w:w="1785" w:type="dxa"/>
          </w:tcPr>
          <w:p w14:paraId="5E08BB72" w14:textId="77777777" w:rsidR="001C0FB1" w:rsidRDefault="00604FBF">
            <w:pPr>
              <w:pStyle w:val="TableParagraph"/>
              <w:spacing w:line="248" w:lineRule="exact"/>
              <w:ind w:left="15"/>
            </w:pPr>
            <w:r>
              <w:t>$200,000</w:t>
            </w:r>
          </w:p>
        </w:tc>
        <w:tc>
          <w:tcPr>
            <w:tcW w:w="1785" w:type="dxa"/>
          </w:tcPr>
          <w:p w14:paraId="100BE0CE" w14:textId="77777777" w:rsidR="001C0FB1" w:rsidRDefault="00604FBF">
            <w:pPr>
              <w:pStyle w:val="TableParagraph"/>
              <w:spacing w:line="248" w:lineRule="exact"/>
              <w:ind w:left="16"/>
            </w:pPr>
            <w:r>
              <w:t>$182.33</w:t>
            </w:r>
          </w:p>
        </w:tc>
        <w:tc>
          <w:tcPr>
            <w:tcW w:w="1785" w:type="dxa"/>
          </w:tcPr>
          <w:p w14:paraId="32BBF0E4" w14:textId="77777777" w:rsidR="001C0FB1" w:rsidRDefault="00604FBF">
            <w:pPr>
              <w:pStyle w:val="TableParagraph"/>
              <w:spacing w:line="248" w:lineRule="exact"/>
              <w:ind w:left="17"/>
            </w:pPr>
            <w:r>
              <w:t>$2,188</w:t>
            </w:r>
          </w:p>
        </w:tc>
      </w:tr>
      <w:tr w:rsidR="001C0FB1" w14:paraId="7639972A" w14:textId="77777777" w:rsidTr="00604FBF">
        <w:trPr>
          <w:trHeight w:val="268"/>
        </w:trPr>
        <w:tc>
          <w:tcPr>
            <w:tcW w:w="1785" w:type="dxa"/>
          </w:tcPr>
          <w:p w14:paraId="17C101C4" w14:textId="77777777" w:rsidR="001C0FB1" w:rsidRDefault="001C0FB1">
            <w:pPr>
              <w:pStyle w:val="TableParagraph"/>
              <w:spacing w:before="0"/>
              <w:ind w:left="0"/>
              <w:rPr>
                <w:sz w:val="20"/>
              </w:rPr>
            </w:pPr>
          </w:p>
        </w:tc>
        <w:tc>
          <w:tcPr>
            <w:tcW w:w="1785" w:type="dxa"/>
          </w:tcPr>
          <w:p w14:paraId="626D8375" w14:textId="77777777" w:rsidR="001C0FB1" w:rsidRDefault="001C0FB1">
            <w:pPr>
              <w:pStyle w:val="TableParagraph"/>
              <w:spacing w:before="0"/>
              <w:ind w:left="0"/>
              <w:rPr>
                <w:sz w:val="20"/>
              </w:rPr>
            </w:pPr>
          </w:p>
        </w:tc>
        <w:tc>
          <w:tcPr>
            <w:tcW w:w="1785" w:type="dxa"/>
          </w:tcPr>
          <w:p w14:paraId="1E5915BE" w14:textId="77777777" w:rsidR="001C0FB1" w:rsidRDefault="00604FBF">
            <w:pPr>
              <w:pStyle w:val="TableParagraph"/>
              <w:spacing w:line="248" w:lineRule="exact"/>
              <w:ind w:left="15"/>
            </w:pPr>
            <w:r>
              <w:t>$300,000</w:t>
            </w:r>
          </w:p>
        </w:tc>
        <w:tc>
          <w:tcPr>
            <w:tcW w:w="1785" w:type="dxa"/>
          </w:tcPr>
          <w:p w14:paraId="5AA3E5A0" w14:textId="77777777" w:rsidR="001C0FB1" w:rsidRDefault="00604FBF">
            <w:pPr>
              <w:pStyle w:val="TableParagraph"/>
              <w:spacing w:line="248" w:lineRule="exact"/>
              <w:ind w:left="16"/>
            </w:pPr>
            <w:r>
              <w:t>$273.50</w:t>
            </w:r>
          </w:p>
        </w:tc>
        <w:tc>
          <w:tcPr>
            <w:tcW w:w="1785" w:type="dxa"/>
          </w:tcPr>
          <w:p w14:paraId="5CAD0F87" w14:textId="77777777" w:rsidR="001C0FB1" w:rsidRDefault="00604FBF">
            <w:pPr>
              <w:pStyle w:val="TableParagraph"/>
              <w:spacing w:line="248" w:lineRule="exact"/>
              <w:ind w:left="17"/>
            </w:pPr>
            <w:r>
              <w:t>$3,382</w:t>
            </w:r>
          </w:p>
        </w:tc>
      </w:tr>
      <w:tr w:rsidR="001C0FB1" w14:paraId="480DBB90" w14:textId="77777777" w:rsidTr="00604FBF">
        <w:trPr>
          <w:trHeight w:val="284"/>
        </w:trPr>
        <w:tc>
          <w:tcPr>
            <w:tcW w:w="1785" w:type="dxa"/>
          </w:tcPr>
          <w:p w14:paraId="1A692065" w14:textId="77777777" w:rsidR="001C0FB1" w:rsidRDefault="00604FBF">
            <w:pPr>
              <w:pStyle w:val="TableParagraph"/>
              <w:ind w:left="16"/>
              <w:rPr>
                <w:b/>
              </w:rPr>
            </w:pPr>
            <w:r>
              <w:rPr>
                <w:b/>
              </w:rPr>
              <w:t>2017</w:t>
            </w:r>
          </w:p>
        </w:tc>
        <w:tc>
          <w:tcPr>
            <w:tcW w:w="1785" w:type="dxa"/>
          </w:tcPr>
          <w:p w14:paraId="4E0C792A" w14:textId="77777777" w:rsidR="001C0FB1" w:rsidRDefault="00604FBF">
            <w:pPr>
              <w:pStyle w:val="TableParagraph"/>
            </w:pPr>
            <w:r>
              <w:t>1.095093</w:t>
            </w:r>
          </w:p>
        </w:tc>
        <w:tc>
          <w:tcPr>
            <w:tcW w:w="1785" w:type="dxa"/>
          </w:tcPr>
          <w:p w14:paraId="4F911C1F" w14:textId="77777777" w:rsidR="001C0FB1" w:rsidRDefault="00604FBF">
            <w:pPr>
              <w:pStyle w:val="TableParagraph"/>
              <w:ind w:left="15"/>
            </w:pPr>
            <w:r>
              <w:t>$100,000</w:t>
            </w:r>
          </w:p>
        </w:tc>
        <w:tc>
          <w:tcPr>
            <w:tcW w:w="1785" w:type="dxa"/>
          </w:tcPr>
          <w:p w14:paraId="0CF09F44" w14:textId="77777777" w:rsidR="001C0FB1" w:rsidRDefault="00604FBF">
            <w:pPr>
              <w:pStyle w:val="TableParagraph"/>
              <w:ind w:left="16"/>
            </w:pPr>
            <w:r>
              <w:t>$91.25</w:t>
            </w:r>
          </w:p>
        </w:tc>
        <w:tc>
          <w:tcPr>
            <w:tcW w:w="1785" w:type="dxa"/>
          </w:tcPr>
          <w:p w14:paraId="061AAA8E" w14:textId="77777777" w:rsidR="001C0FB1" w:rsidRDefault="00604FBF">
            <w:pPr>
              <w:pStyle w:val="TableParagraph"/>
              <w:ind w:left="17"/>
            </w:pPr>
            <w:r>
              <w:t>$1,095</w:t>
            </w:r>
          </w:p>
        </w:tc>
      </w:tr>
      <w:tr w:rsidR="001C0FB1" w14:paraId="3A787BB8" w14:textId="77777777" w:rsidTr="00604FBF">
        <w:trPr>
          <w:trHeight w:val="268"/>
        </w:trPr>
        <w:tc>
          <w:tcPr>
            <w:tcW w:w="1785" w:type="dxa"/>
          </w:tcPr>
          <w:p w14:paraId="51E16312" w14:textId="77777777" w:rsidR="001C0FB1" w:rsidRDefault="001C0FB1">
            <w:pPr>
              <w:pStyle w:val="TableParagraph"/>
              <w:spacing w:before="0"/>
              <w:ind w:left="0"/>
              <w:rPr>
                <w:sz w:val="20"/>
              </w:rPr>
            </w:pPr>
          </w:p>
        </w:tc>
        <w:tc>
          <w:tcPr>
            <w:tcW w:w="1785" w:type="dxa"/>
          </w:tcPr>
          <w:p w14:paraId="4EA2889F" w14:textId="77777777" w:rsidR="001C0FB1" w:rsidRDefault="001C0FB1">
            <w:pPr>
              <w:pStyle w:val="TableParagraph"/>
              <w:spacing w:before="0"/>
              <w:ind w:left="0"/>
              <w:rPr>
                <w:sz w:val="20"/>
              </w:rPr>
            </w:pPr>
          </w:p>
        </w:tc>
        <w:tc>
          <w:tcPr>
            <w:tcW w:w="1785" w:type="dxa"/>
          </w:tcPr>
          <w:p w14:paraId="4C6028DB" w14:textId="77777777" w:rsidR="001C0FB1" w:rsidRDefault="00604FBF">
            <w:pPr>
              <w:pStyle w:val="TableParagraph"/>
              <w:spacing w:line="248" w:lineRule="exact"/>
              <w:ind w:left="15"/>
            </w:pPr>
            <w:r>
              <w:t>$200,000</w:t>
            </w:r>
          </w:p>
        </w:tc>
        <w:tc>
          <w:tcPr>
            <w:tcW w:w="1785" w:type="dxa"/>
          </w:tcPr>
          <w:p w14:paraId="200C4562" w14:textId="77777777" w:rsidR="001C0FB1" w:rsidRDefault="00604FBF">
            <w:pPr>
              <w:pStyle w:val="TableParagraph"/>
              <w:spacing w:line="248" w:lineRule="exact"/>
              <w:ind w:left="16"/>
            </w:pPr>
            <w:r>
              <w:t>$182.50</w:t>
            </w:r>
          </w:p>
        </w:tc>
        <w:tc>
          <w:tcPr>
            <w:tcW w:w="1785" w:type="dxa"/>
          </w:tcPr>
          <w:p w14:paraId="11CE82B1" w14:textId="77777777" w:rsidR="001C0FB1" w:rsidRDefault="00604FBF">
            <w:pPr>
              <w:pStyle w:val="TableParagraph"/>
              <w:spacing w:line="248" w:lineRule="exact"/>
              <w:ind w:left="17"/>
            </w:pPr>
            <w:r>
              <w:t>$2,190</w:t>
            </w:r>
          </w:p>
        </w:tc>
      </w:tr>
      <w:tr w:rsidR="001C0FB1" w14:paraId="70A2970D" w14:textId="77777777" w:rsidTr="00604FBF">
        <w:trPr>
          <w:trHeight w:val="284"/>
        </w:trPr>
        <w:tc>
          <w:tcPr>
            <w:tcW w:w="1785" w:type="dxa"/>
          </w:tcPr>
          <w:p w14:paraId="3B2F1D42" w14:textId="77777777" w:rsidR="001C0FB1" w:rsidRDefault="001C0FB1">
            <w:pPr>
              <w:pStyle w:val="TableParagraph"/>
              <w:spacing w:before="0"/>
              <w:ind w:left="0"/>
            </w:pPr>
          </w:p>
        </w:tc>
        <w:tc>
          <w:tcPr>
            <w:tcW w:w="1785" w:type="dxa"/>
          </w:tcPr>
          <w:p w14:paraId="19823788" w14:textId="77777777" w:rsidR="001C0FB1" w:rsidRDefault="001C0FB1">
            <w:pPr>
              <w:pStyle w:val="TableParagraph"/>
              <w:spacing w:before="0"/>
              <w:ind w:left="0"/>
            </w:pPr>
          </w:p>
        </w:tc>
        <w:tc>
          <w:tcPr>
            <w:tcW w:w="1785" w:type="dxa"/>
          </w:tcPr>
          <w:p w14:paraId="33992BFB" w14:textId="77777777" w:rsidR="001C0FB1" w:rsidRDefault="00604FBF">
            <w:pPr>
              <w:pStyle w:val="TableParagraph"/>
              <w:ind w:left="15"/>
            </w:pPr>
            <w:r>
              <w:t>$300,000</w:t>
            </w:r>
          </w:p>
        </w:tc>
        <w:tc>
          <w:tcPr>
            <w:tcW w:w="1785" w:type="dxa"/>
          </w:tcPr>
          <w:p w14:paraId="16391247" w14:textId="77777777" w:rsidR="001C0FB1" w:rsidRDefault="00604FBF">
            <w:pPr>
              <w:pStyle w:val="TableParagraph"/>
              <w:ind w:left="16"/>
            </w:pPr>
            <w:r>
              <w:t>$273.75</w:t>
            </w:r>
          </w:p>
        </w:tc>
        <w:tc>
          <w:tcPr>
            <w:tcW w:w="1785" w:type="dxa"/>
          </w:tcPr>
          <w:p w14:paraId="267EFC52" w14:textId="77777777" w:rsidR="001C0FB1" w:rsidRDefault="00604FBF">
            <w:pPr>
              <w:pStyle w:val="TableParagraph"/>
              <w:ind w:left="17"/>
            </w:pPr>
            <w:r>
              <w:t>$3,285</w:t>
            </w:r>
          </w:p>
        </w:tc>
      </w:tr>
      <w:tr w:rsidR="001C0FB1" w14:paraId="3FB97B0B" w14:textId="77777777" w:rsidTr="00604FBF">
        <w:trPr>
          <w:trHeight w:val="268"/>
        </w:trPr>
        <w:tc>
          <w:tcPr>
            <w:tcW w:w="1785" w:type="dxa"/>
          </w:tcPr>
          <w:p w14:paraId="2889AF95" w14:textId="77777777" w:rsidR="001C0FB1" w:rsidRDefault="00604FBF">
            <w:pPr>
              <w:pStyle w:val="TableParagraph"/>
              <w:spacing w:line="247" w:lineRule="exact"/>
              <w:ind w:left="16"/>
              <w:rPr>
                <w:b/>
              </w:rPr>
            </w:pPr>
            <w:r>
              <w:rPr>
                <w:b/>
              </w:rPr>
              <w:t>2018</w:t>
            </w:r>
          </w:p>
        </w:tc>
        <w:tc>
          <w:tcPr>
            <w:tcW w:w="1785" w:type="dxa"/>
          </w:tcPr>
          <w:p w14:paraId="4521A34C" w14:textId="77777777" w:rsidR="001C0FB1" w:rsidRDefault="00604FBF">
            <w:pPr>
              <w:pStyle w:val="TableParagraph"/>
              <w:spacing w:line="247" w:lineRule="exact"/>
            </w:pPr>
            <w:r>
              <w:t>1.080000</w:t>
            </w:r>
          </w:p>
        </w:tc>
        <w:tc>
          <w:tcPr>
            <w:tcW w:w="1785" w:type="dxa"/>
          </w:tcPr>
          <w:p w14:paraId="36826EFB" w14:textId="77777777" w:rsidR="001C0FB1" w:rsidRDefault="00604FBF">
            <w:pPr>
              <w:pStyle w:val="TableParagraph"/>
              <w:spacing w:line="247" w:lineRule="exact"/>
              <w:ind w:left="15"/>
            </w:pPr>
            <w:r>
              <w:t>$100,000</w:t>
            </w:r>
          </w:p>
        </w:tc>
        <w:tc>
          <w:tcPr>
            <w:tcW w:w="1785" w:type="dxa"/>
          </w:tcPr>
          <w:p w14:paraId="44E85AE4" w14:textId="77777777" w:rsidR="001C0FB1" w:rsidRDefault="00604FBF">
            <w:pPr>
              <w:pStyle w:val="TableParagraph"/>
              <w:spacing w:line="247" w:lineRule="exact"/>
              <w:ind w:left="16"/>
            </w:pPr>
            <w:r>
              <w:t>$90.00</w:t>
            </w:r>
          </w:p>
        </w:tc>
        <w:tc>
          <w:tcPr>
            <w:tcW w:w="1785" w:type="dxa"/>
          </w:tcPr>
          <w:p w14:paraId="20F3B027" w14:textId="77777777" w:rsidR="001C0FB1" w:rsidRDefault="00604FBF">
            <w:pPr>
              <w:pStyle w:val="TableParagraph"/>
              <w:spacing w:line="247" w:lineRule="exact"/>
              <w:ind w:left="17"/>
            </w:pPr>
            <w:r>
              <w:t>$1,080</w:t>
            </w:r>
          </w:p>
        </w:tc>
      </w:tr>
      <w:tr w:rsidR="001C0FB1" w14:paraId="79792A1F" w14:textId="77777777" w:rsidTr="00604FBF">
        <w:trPr>
          <w:trHeight w:val="284"/>
        </w:trPr>
        <w:tc>
          <w:tcPr>
            <w:tcW w:w="1785" w:type="dxa"/>
          </w:tcPr>
          <w:p w14:paraId="49B23BA6" w14:textId="77777777" w:rsidR="001C0FB1" w:rsidRDefault="001C0FB1">
            <w:pPr>
              <w:pStyle w:val="TableParagraph"/>
              <w:spacing w:before="0"/>
              <w:ind w:left="0"/>
            </w:pPr>
          </w:p>
        </w:tc>
        <w:tc>
          <w:tcPr>
            <w:tcW w:w="1785" w:type="dxa"/>
          </w:tcPr>
          <w:p w14:paraId="55A7234C" w14:textId="77777777" w:rsidR="001C0FB1" w:rsidRDefault="001C0FB1">
            <w:pPr>
              <w:pStyle w:val="TableParagraph"/>
              <w:spacing w:before="0"/>
              <w:ind w:left="0"/>
            </w:pPr>
          </w:p>
        </w:tc>
        <w:tc>
          <w:tcPr>
            <w:tcW w:w="1785" w:type="dxa"/>
          </w:tcPr>
          <w:p w14:paraId="08020C34" w14:textId="77777777" w:rsidR="001C0FB1" w:rsidRDefault="00604FBF">
            <w:pPr>
              <w:pStyle w:val="TableParagraph"/>
              <w:ind w:left="15"/>
            </w:pPr>
            <w:r>
              <w:t>$200,000</w:t>
            </w:r>
          </w:p>
        </w:tc>
        <w:tc>
          <w:tcPr>
            <w:tcW w:w="1785" w:type="dxa"/>
          </w:tcPr>
          <w:p w14:paraId="519AE874" w14:textId="77777777" w:rsidR="001C0FB1" w:rsidRDefault="00604FBF">
            <w:pPr>
              <w:pStyle w:val="TableParagraph"/>
              <w:ind w:left="16"/>
            </w:pPr>
            <w:r>
              <w:t>$180.00</w:t>
            </w:r>
          </w:p>
        </w:tc>
        <w:tc>
          <w:tcPr>
            <w:tcW w:w="1785" w:type="dxa"/>
          </w:tcPr>
          <w:p w14:paraId="3ED48182" w14:textId="77777777" w:rsidR="001C0FB1" w:rsidRDefault="00604FBF">
            <w:pPr>
              <w:pStyle w:val="TableParagraph"/>
              <w:ind w:left="17"/>
            </w:pPr>
            <w:r>
              <w:t>$2,160</w:t>
            </w:r>
          </w:p>
        </w:tc>
      </w:tr>
      <w:tr w:rsidR="001C0FB1" w14:paraId="19942B89" w14:textId="77777777" w:rsidTr="00604FBF">
        <w:trPr>
          <w:trHeight w:val="292"/>
        </w:trPr>
        <w:tc>
          <w:tcPr>
            <w:tcW w:w="1785" w:type="dxa"/>
          </w:tcPr>
          <w:p w14:paraId="3851D58F" w14:textId="77777777" w:rsidR="001C0FB1" w:rsidRDefault="001C0FB1">
            <w:pPr>
              <w:pStyle w:val="TableParagraph"/>
              <w:spacing w:before="0"/>
              <w:ind w:left="0"/>
            </w:pPr>
          </w:p>
        </w:tc>
        <w:tc>
          <w:tcPr>
            <w:tcW w:w="1785" w:type="dxa"/>
          </w:tcPr>
          <w:p w14:paraId="367A90D0" w14:textId="77777777" w:rsidR="001C0FB1" w:rsidRDefault="001C0FB1">
            <w:pPr>
              <w:pStyle w:val="TableParagraph"/>
              <w:spacing w:before="0"/>
              <w:ind w:left="0"/>
            </w:pPr>
          </w:p>
        </w:tc>
        <w:tc>
          <w:tcPr>
            <w:tcW w:w="1785" w:type="dxa"/>
          </w:tcPr>
          <w:p w14:paraId="17124871" w14:textId="77777777" w:rsidR="001C0FB1" w:rsidRDefault="00604FBF">
            <w:pPr>
              <w:pStyle w:val="TableParagraph"/>
              <w:ind w:left="15"/>
            </w:pPr>
            <w:r>
              <w:t>$300,000</w:t>
            </w:r>
          </w:p>
        </w:tc>
        <w:tc>
          <w:tcPr>
            <w:tcW w:w="1785" w:type="dxa"/>
          </w:tcPr>
          <w:p w14:paraId="3371D877" w14:textId="77777777" w:rsidR="001C0FB1" w:rsidRDefault="00604FBF">
            <w:pPr>
              <w:pStyle w:val="TableParagraph"/>
              <w:ind w:left="16"/>
            </w:pPr>
            <w:r>
              <w:t>$270.00</w:t>
            </w:r>
          </w:p>
        </w:tc>
        <w:tc>
          <w:tcPr>
            <w:tcW w:w="1785" w:type="dxa"/>
          </w:tcPr>
          <w:p w14:paraId="318A16A9" w14:textId="77777777" w:rsidR="001C0FB1" w:rsidRDefault="00604FBF">
            <w:pPr>
              <w:pStyle w:val="TableParagraph"/>
              <w:ind w:left="17"/>
            </w:pPr>
            <w:r>
              <w:t>$3,240</w:t>
            </w:r>
          </w:p>
        </w:tc>
      </w:tr>
    </w:tbl>
    <w:p w14:paraId="6456EDF3" w14:textId="77777777" w:rsidR="001C0FB1" w:rsidRDefault="00604FBF">
      <w:pPr>
        <w:pStyle w:val="ListParagraph"/>
        <w:numPr>
          <w:ilvl w:val="1"/>
          <w:numId w:val="1"/>
        </w:numPr>
        <w:tabs>
          <w:tab w:val="left" w:pos="532"/>
        </w:tabs>
        <w:spacing w:before="150"/>
        <w:ind w:left="532"/>
        <w:rPr>
          <w:sz w:val="24"/>
        </w:rPr>
      </w:pPr>
      <w:r>
        <w:rPr>
          <w:sz w:val="24"/>
        </w:rPr>
        <w:t>Motion to Close the Tax Request</w:t>
      </w:r>
      <w:r>
        <w:rPr>
          <w:spacing w:val="-10"/>
          <w:sz w:val="24"/>
        </w:rPr>
        <w:t xml:space="preserve"> </w:t>
      </w:r>
      <w:r>
        <w:rPr>
          <w:sz w:val="24"/>
        </w:rPr>
        <w:t>Hearing</w:t>
      </w:r>
    </w:p>
    <w:p w14:paraId="75F3728B" w14:textId="77777777" w:rsidR="001C0FB1" w:rsidRDefault="00604FBF">
      <w:pPr>
        <w:pStyle w:val="BodyText"/>
        <w:ind w:left="100"/>
      </w:pPr>
      <w:r>
        <w:t xml:space="preserve">Motion to close the tax request hearing at 7:30 p.m. This motion, made by Harlan </w:t>
      </w:r>
      <w:proofErr w:type="spellStart"/>
      <w:r>
        <w:t>Rickers</w:t>
      </w:r>
      <w:proofErr w:type="spellEnd"/>
      <w:r>
        <w:t xml:space="preserve"> and seconded by Carol </w:t>
      </w:r>
      <w:proofErr w:type="spellStart"/>
      <w:r>
        <w:t>Pralle</w:t>
      </w:r>
      <w:proofErr w:type="spellEnd"/>
      <w:r>
        <w:t>, passed.</w:t>
      </w:r>
    </w:p>
    <w:p w14:paraId="3549AA22" w14:textId="45EDFD30" w:rsidR="00604FBF" w:rsidRDefault="00147346">
      <w:pPr>
        <w:pStyle w:val="BodyText"/>
        <w:ind w:left="100"/>
      </w:pPr>
      <w:r>
        <w:t>yes: 4, no: 0, Absent: 2</w:t>
      </w:r>
    </w:p>
    <w:p w14:paraId="1BA9172E" w14:textId="77777777" w:rsidR="001C0FB1" w:rsidRDefault="00604FBF">
      <w:pPr>
        <w:pStyle w:val="ListParagraph"/>
        <w:numPr>
          <w:ilvl w:val="0"/>
          <w:numId w:val="1"/>
        </w:numPr>
        <w:tabs>
          <w:tab w:val="left" w:pos="379"/>
        </w:tabs>
        <w:ind w:left="378" w:hanging="278"/>
        <w:rPr>
          <w:sz w:val="24"/>
        </w:rPr>
      </w:pPr>
      <w:r>
        <w:rPr>
          <w:sz w:val="24"/>
        </w:rPr>
        <w:t>Adjournment</w:t>
      </w:r>
    </w:p>
    <w:p w14:paraId="40EB01B9" w14:textId="0421F811" w:rsidR="001C0FB1" w:rsidRDefault="00604FBF">
      <w:pPr>
        <w:pStyle w:val="BodyText"/>
        <w:tabs>
          <w:tab w:val="left" w:pos="5605"/>
          <w:tab w:val="left" w:pos="7045"/>
        </w:tabs>
        <w:ind w:left="100" w:right="99"/>
      </w:pPr>
      <w:r>
        <w:t>The next Regular Board meeting is</w:t>
      </w:r>
      <w:r>
        <w:rPr>
          <w:spacing w:val="-13"/>
        </w:rPr>
        <w:t xml:space="preserve"> </w:t>
      </w:r>
      <w:r>
        <w:t>scheduled</w:t>
      </w:r>
      <w:r>
        <w:rPr>
          <w:spacing w:val="-2"/>
        </w:rPr>
        <w:t xml:space="preserve"> </w:t>
      </w:r>
      <w:r>
        <w:t>for 7:30 p.m., October 8, 2018, at Southern</w:t>
      </w:r>
      <w:r>
        <w:rPr>
          <w:spacing w:val="-7"/>
        </w:rPr>
        <w:t xml:space="preserve"> </w:t>
      </w:r>
      <w:r>
        <w:t>Jr./Sr.</w:t>
      </w:r>
      <w:r>
        <w:rPr>
          <w:spacing w:val="-3"/>
        </w:rPr>
        <w:t xml:space="preserve"> </w:t>
      </w:r>
      <w:r>
        <w:t>High</w:t>
      </w:r>
      <w:r>
        <w:rPr>
          <w:w w:val="99"/>
        </w:rPr>
        <w:t xml:space="preserve"> </w:t>
      </w:r>
      <w:r>
        <w:t>School Board Room in Wymore. The Board of Education will usually adhere to the sequence of the published agenda, but reserves the right to adjust the order of items if necessary and may elect to amend the agenda as deemed</w:t>
      </w:r>
      <w:r>
        <w:rPr>
          <w:spacing w:val="-19"/>
        </w:rPr>
        <w:t xml:space="preserve"> </w:t>
      </w:r>
      <w:r>
        <w:t>necessary.</w:t>
      </w:r>
    </w:p>
    <w:p w14:paraId="12ADF106" w14:textId="77777777" w:rsidR="001C0FB1" w:rsidRPr="00604FBF" w:rsidRDefault="001C0FB1">
      <w:pPr>
        <w:pStyle w:val="BodyText"/>
        <w:spacing w:before="1"/>
        <w:ind w:left="0"/>
        <w:rPr>
          <w:sz w:val="28"/>
          <w:szCs w:val="28"/>
        </w:rPr>
      </w:pPr>
      <w:bookmarkStart w:id="0" w:name="_GoBack"/>
      <w:bookmarkEnd w:id="0"/>
    </w:p>
    <w:p w14:paraId="26364F30" w14:textId="77777777" w:rsidR="00604FBF" w:rsidRPr="00604FBF" w:rsidRDefault="00604FBF">
      <w:pPr>
        <w:pStyle w:val="BodyText"/>
        <w:spacing w:before="1"/>
        <w:ind w:left="0"/>
        <w:rPr>
          <w:sz w:val="28"/>
          <w:szCs w:val="28"/>
        </w:rPr>
      </w:pPr>
    </w:p>
    <w:p w14:paraId="36042C5A" w14:textId="77777777" w:rsidR="001C0FB1" w:rsidRDefault="00604FBF">
      <w:pPr>
        <w:pStyle w:val="BodyText"/>
        <w:spacing w:before="1"/>
        <w:ind w:left="100"/>
      </w:pPr>
      <w:r>
        <w:t>BY</w:t>
      </w:r>
    </w:p>
    <w:p w14:paraId="592642E0" w14:textId="77777777" w:rsidR="001C0FB1" w:rsidRDefault="00604FBF">
      <w:pPr>
        <w:pStyle w:val="BodyText"/>
        <w:ind w:left="100" w:right="5974"/>
      </w:pPr>
      <w:r>
        <w:t>President of the Board of Education Of this School District</w:t>
      </w:r>
    </w:p>
    <w:p w14:paraId="2BE05E79" w14:textId="77777777" w:rsidR="001C0FB1" w:rsidRPr="00604FBF" w:rsidRDefault="001C0FB1">
      <w:pPr>
        <w:pStyle w:val="BodyText"/>
        <w:ind w:left="0"/>
        <w:rPr>
          <w:sz w:val="28"/>
          <w:szCs w:val="28"/>
        </w:rPr>
      </w:pPr>
    </w:p>
    <w:p w14:paraId="59950C4A" w14:textId="77777777" w:rsidR="001C0FB1" w:rsidRPr="00604FBF" w:rsidRDefault="001C0FB1">
      <w:pPr>
        <w:pStyle w:val="BodyText"/>
        <w:ind w:left="0"/>
        <w:rPr>
          <w:sz w:val="28"/>
          <w:szCs w:val="28"/>
        </w:rPr>
      </w:pPr>
    </w:p>
    <w:p w14:paraId="460565E6" w14:textId="77777777" w:rsidR="001C0FB1" w:rsidRDefault="00604FBF">
      <w:pPr>
        <w:pStyle w:val="BodyText"/>
        <w:spacing w:before="230"/>
        <w:ind w:left="100"/>
      </w:pPr>
      <w:r>
        <w:t>ATTEST</w:t>
      </w:r>
    </w:p>
    <w:p w14:paraId="5822FB6D" w14:textId="77777777" w:rsidR="001C0FB1" w:rsidRDefault="00604FBF">
      <w:pPr>
        <w:pStyle w:val="BodyText"/>
        <w:ind w:left="100" w:right="5961"/>
      </w:pPr>
      <w:r>
        <w:t>Secretary of the Board of Education of this School District</w:t>
      </w:r>
    </w:p>
    <w:sectPr w:rsidR="001C0FB1">
      <w:pgSz w:w="12240" w:h="15840"/>
      <w:pgMar w:top="144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D7E2B"/>
    <w:multiLevelType w:val="multilevel"/>
    <w:tmpl w:val="7D1CF830"/>
    <w:lvl w:ilvl="0">
      <w:start w:val="1"/>
      <w:numFmt w:val="upperRoman"/>
      <w:lvlText w:val="%1."/>
      <w:lvlJc w:val="left"/>
      <w:pPr>
        <w:ind w:left="316" w:hanging="197"/>
      </w:pPr>
      <w:rPr>
        <w:rFonts w:ascii="Times New Roman" w:eastAsia="Times New Roman" w:hAnsi="Times New Roman" w:cs="Times New Roman" w:hint="default"/>
        <w:spacing w:val="-3"/>
        <w:w w:val="99"/>
        <w:sz w:val="24"/>
        <w:szCs w:val="24"/>
      </w:rPr>
    </w:lvl>
    <w:lvl w:ilvl="1">
      <w:start w:val="1"/>
      <w:numFmt w:val="upperLetter"/>
      <w:lvlText w:val="%1.%2."/>
      <w:lvlJc w:val="left"/>
      <w:pPr>
        <w:ind w:left="119" w:hanging="432"/>
      </w:pPr>
      <w:rPr>
        <w:rFonts w:ascii="Times New Roman" w:eastAsia="Times New Roman" w:hAnsi="Times New Roman" w:cs="Times New Roman" w:hint="default"/>
        <w:spacing w:val="-3"/>
        <w:w w:val="99"/>
        <w:sz w:val="24"/>
        <w:szCs w:val="24"/>
      </w:rPr>
    </w:lvl>
    <w:lvl w:ilvl="2">
      <w:numFmt w:val="bullet"/>
      <w:lvlText w:val="•"/>
      <w:lvlJc w:val="left"/>
      <w:pPr>
        <w:ind w:left="1342" w:hanging="432"/>
      </w:pPr>
      <w:rPr>
        <w:rFonts w:hint="default"/>
      </w:rPr>
    </w:lvl>
    <w:lvl w:ilvl="3">
      <w:numFmt w:val="bullet"/>
      <w:lvlText w:val="•"/>
      <w:lvlJc w:val="left"/>
      <w:pPr>
        <w:ind w:left="2364" w:hanging="432"/>
      </w:pPr>
      <w:rPr>
        <w:rFonts w:hint="default"/>
      </w:rPr>
    </w:lvl>
    <w:lvl w:ilvl="4">
      <w:numFmt w:val="bullet"/>
      <w:lvlText w:val="•"/>
      <w:lvlJc w:val="left"/>
      <w:pPr>
        <w:ind w:left="3386" w:hanging="432"/>
      </w:pPr>
      <w:rPr>
        <w:rFonts w:hint="default"/>
      </w:rPr>
    </w:lvl>
    <w:lvl w:ilvl="5">
      <w:numFmt w:val="bullet"/>
      <w:lvlText w:val="•"/>
      <w:lvlJc w:val="left"/>
      <w:pPr>
        <w:ind w:left="4408" w:hanging="432"/>
      </w:pPr>
      <w:rPr>
        <w:rFonts w:hint="default"/>
      </w:rPr>
    </w:lvl>
    <w:lvl w:ilvl="6">
      <w:numFmt w:val="bullet"/>
      <w:lvlText w:val="•"/>
      <w:lvlJc w:val="left"/>
      <w:pPr>
        <w:ind w:left="5431" w:hanging="432"/>
      </w:pPr>
      <w:rPr>
        <w:rFonts w:hint="default"/>
      </w:rPr>
    </w:lvl>
    <w:lvl w:ilvl="7">
      <w:numFmt w:val="bullet"/>
      <w:lvlText w:val="•"/>
      <w:lvlJc w:val="left"/>
      <w:pPr>
        <w:ind w:left="6453" w:hanging="432"/>
      </w:pPr>
      <w:rPr>
        <w:rFonts w:hint="default"/>
      </w:rPr>
    </w:lvl>
    <w:lvl w:ilvl="8">
      <w:numFmt w:val="bullet"/>
      <w:lvlText w:val="•"/>
      <w:lvlJc w:val="left"/>
      <w:pPr>
        <w:ind w:left="7475" w:hanging="4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C0FB1"/>
    <w:rsid w:val="00147346"/>
    <w:rsid w:val="001C0FB1"/>
    <w:rsid w:val="00604FBF"/>
    <w:rsid w:val="00E9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DC8759"/>
  <w15:docId w15:val="{DA3E3AC9-FE48-044D-82A5-21A49C79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pPr>
      <w:spacing w:before="149"/>
      <w:ind w:left="119"/>
    </w:pPr>
  </w:style>
  <w:style w:type="paragraph" w:customStyle="1" w:styleId="TableParagraph">
    <w:name w:val="Table Paragraph"/>
    <w:basedOn w:val="Normal"/>
    <w:uiPriority w:val="1"/>
    <w:qFormat/>
    <w:pPr>
      <w:spacing w:before="15"/>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$b8c3e0c5b104$06cea849-ff40-4109-be19-8c43d8e78486--210-1476384529-5890aaa1-d897-4ff4-9106-6bf191fcb54e-6-21-5</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$b8c3e0c5b104$06cea849-ff40-4109-be19-8c43d8e78486--210-1476384529-5890aaa1-d897-4ff4-9106-6bf191fcb54e-6-21-5</dc:title>
  <dc:creator>Sparq Data Solutions</dc:creator>
  <cp:lastModifiedBy>Chris Prososki</cp:lastModifiedBy>
  <cp:revision>3</cp:revision>
  <dcterms:created xsi:type="dcterms:W3CDTF">2018-09-11T07:21:00Z</dcterms:created>
  <dcterms:modified xsi:type="dcterms:W3CDTF">2018-09-11T12:47:00Z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DocConverter http://www.activepdf.com</vt:lpwstr>
  </property>
  <property fmtid="{D5CDD505-2E9C-101B-9397-08002B2CF9AE}" pid="4" name="LastSaved">
    <vt:filetime>2018-09-11T00:00:00Z</vt:filetime>
  </property>
</Properties>
</file>